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QC小组活动成果发表评审表</w:t>
      </w:r>
    </w:p>
    <w:p>
      <w:pPr>
        <w:rPr>
          <w:rFonts w:ascii="宋体" w:hAnsi="宋体"/>
          <w:b/>
          <w:bCs/>
          <w:szCs w:val="21"/>
          <w:u w:val="thick"/>
        </w:rPr>
      </w:pPr>
      <w:r>
        <w:rPr>
          <w:rFonts w:hint="eastAsia" w:ascii="宋体" w:hAnsi="宋体"/>
          <w:szCs w:val="21"/>
        </w:rPr>
        <w:t>小组名称：</w:t>
      </w:r>
      <w:r>
        <w:rPr>
          <w:rFonts w:hint="eastAsia" w:ascii="宋体" w:hAnsi="宋体"/>
          <w:b/>
          <w:bCs/>
          <w:szCs w:val="21"/>
          <w:u w:val="thick"/>
        </w:rPr>
        <w:t xml:space="preserve">                </w:t>
      </w:r>
      <w:r>
        <w:rPr>
          <w:rFonts w:hint="eastAsia" w:ascii="宋体" w:hAnsi="宋体"/>
          <w:szCs w:val="21"/>
        </w:rPr>
        <w:t xml:space="preserve">  课题名称：</w:t>
      </w:r>
      <w:r>
        <w:rPr>
          <w:rFonts w:hint="eastAsia" w:ascii="宋体" w:hAnsi="宋体"/>
          <w:b/>
          <w:bCs/>
          <w:szCs w:val="21"/>
          <w:u w:val="thick"/>
        </w:rPr>
        <w:t xml:space="preserve">                  </w:t>
      </w:r>
    </w:p>
    <w:tbl>
      <w:tblPr>
        <w:tblStyle w:val="2"/>
        <w:tblpPr w:leftFromText="180" w:rightFromText="180" w:vertAnchor="page" w:horzAnchor="page" w:tblpXSpec="center" w:tblpY="3042"/>
        <w:tblW w:w="568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85"/>
        <w:gridCol w:w="4031"/>
        <w:gridCol w:w="1146"/>
        <w:gridCol w:w="985"/>
        <w:gridCol w:w="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评审项目</w:t>
            </w:r>
          </w:p>
        </w:tc>
        <w:tc>
          <w:tcPr>
            <w:tcW w:w="266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评 审 内 容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配分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  题</w:t>
            </w:r>
          </w:p>
        </w:tc>
        <w:tc>
          <w:tcPr>
            <w:tcW w:w="2669" w:type="pct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所选课题应与上级方针目标相结合，或是本小组现场急需解决问题；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课题名称要简洁明确地直接针对所存在的问题；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现状已清楚掌握，数据充分，并通过分析已明确问题的症结所在；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现状已为制定目标提供了依据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目标设定不要过多，并有量化的目标值和有一定依据。；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8-15</w:t>
            </w:r>
          </w:p>
        </w:tc>
        <w:tc>
          <w:tcPr>
            <w:tcW w:w="508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原因分析</w:t>
            </w:r>
          </w:p>
        </w:tc>
        <w:tc>
          <w:tcPr>
            <w:tcW w:w="2669" w:type="pct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应针对问题的症结来分析原因，因果关系要明确、清楚；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原因要分析透彻，一直分析到可直接采取对策的程度；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主要原因要从末端因素中选取；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应对所有末端因素都进行要因确认，并且是用数据、事实客观地证明确是主要原因；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工具运用正确、适宜。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13-20</w:t>
            </w:r>
          </w:p>
        </w:tc>
        <w:tc>
          <w:tcPr>
            <w:tcW w:w="508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对策与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  施</w:t>
            </w:r>
          </w:p>
        </w:tc>
        <w:tc>
          <w:tcPr>
            <w:tcW w:w="2669" w:type="pct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应针对所确定的主要原因，逐条制订对策；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对策应按“5W1H”的原则制订，每条对策在实施后都能检查是否已完成（达到目标）及有无效果；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.要按对策表逐条实施，且实施后的结果都有所交待；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大部分的对策是由本组成员来实施的，遇到困难能努力克服；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工具运用正确、适宜。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13-20</w:t>
            </w:r>
          </w:p>
        </w:tc>
        <w:tc>
          <w:tcPr>
            <w:tcW w:w="508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  果</w:t>
            </w:r>
          </w:p>
        </w:tc>
        <w:tc>
          <w:tcPr>
            <w:tcW w:w="2669" w:type="pct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取得效果后与原状比较，确认其改进的有效性与所制订的目标比较，看其是否已达到；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取得经济效益的计算实事求是、无夸大；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已注意了对无形效果的评价；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改进后的有效方法和措施已纳入有关标准，并按新标准实施；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改进后的效果能维持、巩固在良好的水准，并用图表表示出巩固期的数据。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13-20</w:t>
            </w:r>
          </w:p>
        </w:tc>
        <w:tc>
          <w:tcPr>
            <w:tcW w:w="508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  表</w:t>
            </w:r>
          </w:p>
        </w:tc>
        <w:tc>
          <w:tcPr>
            <w:tcW w:w="2669" w:type="pct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发表资料要系统分明，前后连贯逻辑性好；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发表资料应以图、表、数据为主，避免通篇文字、照本宣读；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发表资料要通俗易懂，不用专业性较强的词句和内容，在不可避免时予以深入浅出地解释；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发表时要从容大方，有礼貌地讲成果；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回答提问诚恳、简要、不强辩。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13-20</w:t>
            </w:r>
          </w:p>
        </w:tc>
        <w:tc>
          <w:tcPr>
            <w:tcW w:w="508" w:type="pct"/>
          </w:tcPr>
          <w:p>
            <w:pPr>
              <w:rPr>
                <w:rFonts w:ascii="宋体" w:hAnsi="宋体"/>
                <w:szCs w:val="21"/>
                <w:u w:val="thic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点</w:t>
            </w:r>
          </w:p>
        </w:tc>
        <w:tc>
          <w:tcPr>
            <w:tcW w:w="266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课题具体务实；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活动过程（包括发表）生动活泼有新意，具有启发性。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0-5</w:t>
            </w:r>
          </w:p>
        </w:tc>
        <w:tc>
          <w:tcPr>
            <w:tcW w:w="508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总体评价</w:t>
            </w:r>
          </w:p>
        </w:tc>
        <w:tc>
          <w:tcPr>
            <w:tcW w:w="2078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总得分</w:t>
            </w:r>
          </w:p>
        </w:tc>
        <w:tc>
          <w:tcPr>
            <w:tcW w:w="508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  <w:u w:val="thick"/>
        </w:rPr>
      </w:pPr>
      <w:r>
        <w:rPr>
          <w:rFonts w:hint="eastAsia" w:ascii="宋体" w:hAnsi="宋体"/>
          <w:szCs w:val="21"/>
        </w:rPr>
        <w:t>评委：</w:t>
      </w:r>
      <w:r>
        <w:rPr>
          <w:rFonts w:hint="eastAsia" w:ascii="宋体" w:hAnsi="宋体"/>
          <w:szCs w:val="21"/>
          <w:u w:val="thick"/>
        </w:rPr>
        <w:t xml:space="preserve">               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宋体" w:hAnsi="宋体"/>
          <w:szCs w:val="21"/>
        </w:rPr>
        <w:t>注：小组、课题名称一定要正楷写全称，准确、无误。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D0DAD"/>
    <w:rsid w:val="721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2019-12-06T05:41:00Z</dcterms:created>
  <dc:creator>LHH-05</dc:creator>
  <cp:lastModifiedBy>佳&amp;多</cp:lastModifiedBy>
  <dcterms:modified xsi:type="dcterms:W3CDTF">2019-12-06T06:33:50Z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